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Verdana" w:cs="Verdana" w:eastAsia="Verdana" w:hAnsi="Verdana"/>
          <w:b w:val="1"/>
          <w:bCs w:val="1"/>
        </w:rPr>
      </w:pPr>
      <w:r w:rsidDel="00000000" w:rsidR="00000000" w:rsidRPr="00000000">
        <w:rPr>
          <w:rFonts w:ascii="Verdana" w:cs="Verdana" w:eastAsia="Verdana" w:hAnsi="Verdana"/>
          <w:b w:val="1"/>
          <w:bCs w:val="1"/>
          <w:rtl w:val="0"/>
        </w:rPr>
        <w:t xml:space="preserve">KOYKAN MIRNA d.o.o.</w:t>
      </w:r>
    </w:p>
    <w:p w:rsidR="00000000" w:rsidDel="00000000" w:rsidP="00000000" w:rsidRDefault="00000000" w:rsidRPr="00000000" w14:paraId="00000002">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Prilaz Gjure Deželića 80, 10000 Zagreb</w:t>
      </w:r>
    </w:p>
    <w:p w:rsidR="00000000" w:rsidDel="00000000" w:rsidP="00000000" w:rsidRDefault="00000000" w:rsidRPr="00000000" w14:paraId="00000003">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OIB: 22942036549 | MBS: 081634769 | temeljni kapital: 2.500,00 EUR</w:t>
      </w:r>
    </w:p>
    <w:p w:rsidR="00000000" w:rsidDel="00000000" w:rsidP="00000000" w:rsidRDefault="00000000" w:rsidRPr="00000000" w14:paraId="00000004">
      <w:pPr>
        <w:jc w:val="center"/>
        <w:rPr>
          <w:rFonts w:ascii="Verdana" w:cs="Verdana" w:eastAsia="Verdana" w:hAnsi="Verdana"/>
          <w:i w:val="1"/>
          <w:iCs w:val="1"/>
          <w:sz w:val="18"/>
          <w:szCs w:val="18"/>
        </w:rPr>
      </w:pPr>
      <w:r w:rsidDel="00000000" w:rsidR="00000000" w:rsidRPr="00000000">
        <w:rPr>
          <w:rFonts w:ascii="Verdana" w:cs="Verdana" w:eastAsia="Verdana" w:hAnsi="Verdana"/>
          <w:i w:val="1"/>
          <w:iCs w:val="1"/>
          <w:sz w:val="18"/>
          <w:szCs w:val="18"/>
          <w:rtl w:val="0"/>
        </w:rPr>
        <w:t xml:space="preserve">IBAN: HR2823600001103192700 | zastupano po direktoru Bori Milivojeviću</w:t>
      </w:r>
    </w:p>
    <w:p w:rsidR="00000000" w:rsidDel="00000000" w:rsidP="00000000" w:rsidRDefault="00000000" w:rsidRPr="00000000" w14:paraId="00000005">
      <w:pPr>
        <w:jc w:val="center"/>
        <w:rPr>
          <w:rFonts w:ascii="Verdana" w:cs="Verdana" w:eastAsia="Verdana" w:hAnsi="Verdana"/>
          <w:i w:val="1"/>
          <w:iCs w:val="1"/>
          <w:sz w:val="18"/>
          <w:szCs w:val="18"/>
        </w:rPr>
      </w:pPr>
      <w:r w:rsidDel="00000000" w:rsidR="00000000" w:rsidRPr="00000000">
        <w:rPr>
          <w:rtl w:val="0"/>
        </w:rPr>
      </w:r>
    </w:p>
    <w:p w:rsidR="00000000" w:rsidDel="00000000" w:rsidP="00000000" w:rsidRDefault="00000000" w:rsidRPr="00000000" w14:paraId="00000006">
      <w:pPr>
        <w:jc w:val="center"/>
        <w:rPr>
          <w:rFonts w:ascii="Verdana" w:cs="Verdana" w:eastAsia="Verdana" w:hAnsi="Verdana"/>
        </w:rPr>
      </w:pPr>
      <w:r w:rsidDel="00000000" w:rsidR="00000000" w:rsidRPr="00000000">
        <w:rPr>
          <w:rFonts w:ascii="Verdana" w:cs="Verdana" w:eastAsia="Verdana" w:hAnsi="Verdana"/>
          <w:b w:val="1"/>
          <w:bCs w:val="1"/>
          <w:rtl w:val="0"/>
        </w:rPr>
        <w:t xml:space="preserve">ODLUKA</w:t>
      </w:r>
      <w:r w:rsidDel="00000000" w:rsidR="00000000" w:rsidRPr="00000000">
        <w:rPr>
          <w:rtl w:val="0"/>
        </w:rPr>
      </w:r>
    </w:p>
    <w:p w:rsidR="00000000" w:rsidDel="00000000" w:rsidP="00000000" w:rsidRDefault="00000000" w:rsidRPr="00000000" w14:paraId="00000007">
      <w:pPr>
        <w:jc w:val="center"/>
        <w:rPr>
          <w:rFonts w:ascii="Verdana" w:cs="Verdana" w:eastAsia="Verdana" w:hAnsi="Verdana"/>
        </w:rPr>
      </w:pPr>
      <w:r w:rsidDel="00000000" w:rsidR="00000000" w:rsidRPr="00000000">
        <w:rPr>
          <w:rFonts w:ascii="Verdana" w:cs="Verdana" w:eastAsia="Verdana" w:hAnsi="Verdana"/>
          <w:b w:val="1"/>
          <w:bCs w:val="1"/>
          <w:rtl w:val="0"/>
        </w:rPr>
        <w:t xml:space="preserve">o izdavanju obveznica s pravom konverzije</w:t>
      </w:r>
      <w:r w:rsidDel="00000000" w:rsidR="00000000" w:rsidRPr="00000000">
        <w:rPr>
          <w:rtl w:val="0"/>
        </w:rPr>
      </w:r>
    </w:p>
    <w:p w:rsidR="00000000" w:rsidDel="00000000" w:rsidP="00000000" w:rsidRDefault="00000000" w:rsidRPr="00000000" w14:paraId="00000008">
      <w:pPr>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9">
      <w:pPr>
        <w:spacing w:line="276"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KOYKAN MIRNA d.o.o., Prilaz Gjure Deželića 80, 10000 Zagreb, OIB: 22942036549 | MBS: 081634769 | temeljni kapital: 2.500,00 EUR, IBAN: HR2823600001103192700 | zastupano po direktoru Bori Milivojeviću (dalje: „Društvo“) dana 23.09.2026. godine donosi odluku o izdanju Obveznica u tranšama po sljedećim parametrima:</w:t>
      </w:r>
    </w:p>
    <w:p w:rsidR="00000000" w:rsidDel="00000000" w:rsidP="00000000" w:rsidRDefault="00000000" w:rsidRPr="00000000" w14:paraId="0000000A">
      <w:pPr>
        <w:rPr>
          <w:rFonts w:ascii="Verdana" w:cs="Verdana" w:eastAsia="Verdana" w:hAnsi="Verdana"/>
          <w:sz w:val="18"/>
          <w:szCs w:val="18"/>
        </w:rPr>
      </w:pPr>
      <w:r w:rsidDel="00000000" w:rsidR="00000000" w:rsidRPr="00000000">
        <w:rPr>
          <w:rtl w:val="0"/>
        </w:rPr>
      </w:r>
    </w:p>
    <w:tbl>
      <w:tblPr>
        <w:tblStyle w:val="Table1"/>
        <w:tblW w:w="8789.0" w:type="dxa"/>
        <w:jc w:val="left"/>
        <w:tblBorders>
          <w:insideH w:color="000000" w:space="0" w:sz="4" w:val="single"/>
        </w:tblBorders>
        <w:tblLayout w:type="fixed"/>
        <w:tblLook w:val="0400"/>
      </w:tblPr>
      <w:tblGrid>
        <w:gridCol w:w="4678"/>
        <w:gridCol w:w="4111"/>
        <w:tblGridChange w:id="0">
          <w:tblGrid>
            <w:gridCol w:w="4678"/>
            <w:gridCol w:w="4111"/>
          </w:tblGrid>
        </w:tblGridChange>
      </w:tblGrid>
      <w:tr>
        <w:trPr>
          <w:cantSplit w:val="0"/>
          <w:trHeight w:val="300" w:hRule="atLeast"/>
          <w:tblHeader w:val="0"/>
        </w:trPr>
        <w:tc>
          <w:tcPr>
            <w:vAlign w:val="center"/>
          </w:tcPr>
          <w:p w:rsidR="00000000" w:rsidDel="00000000" w:rsidP="00000000" w:rsidRDefault="00000000" w:rsidRPr="00000000" w14:paraId="0000000B">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CILJANI IZNOS IZDANJA:</w:t>
            </w:r>
          </w:p>
        </w:tc>
        <w:tc>
          <w:tcPr>
            <w:vAlign w:val="center"/>
          </w:tcPr>
          <w:p w:rsidR="00000000" w:rsidDel="00000000" w:rsidP="00000000" w:rsidRDefault="00000000" w:rsidRPr="00000000" w14:paraId="0000000C">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1.500.000,00 EUR</w:t>
            </w:r>
          </w:p>
        </w:tc>
      </w:tr>
      <w:tr>
        <w:trPr>
          <w:cantSplit w:val="0"/>
          <w:trHeight w:val="315" w:hRule="atLeast"/>
          <w:tblHeader w:val="0"/>
        </w:trPr>
        <w:tc>
          <w:tcPr>
            <w:vAlign w:val="center"/>
          </w:tcPr>
          <w:p w:rsidR="00000000" w:rsidDel="00000000" w:rsidP="00000000" w:rsidRDefault="00000000" w:rsidRPr="00000000" w14:paraId="0000000D">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ROK TRAJANJA OBVEZNICA:</w:t>
            </w:r>
          </w:p>
        </w:tc>
        <w:tc>
          <w:tcPr>
            <w:vAlign w:val="center"/>
          </w:tcPr>
          <w:p w:rsidR="00000000" w:rsidDel="00000000" w:rsidP="00000000" w:rsidRDefault="00000000" w:rsidRPr="00000000" w14:paraId="0000000E">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 godina od datuma izdanja</w:t>
            </w:r>
          </w:p>
        </w:tc>
      </w:tr>
      <w:tr>
        <w:trPr>
          <w:cantSplit w:val="0"/>
          <w:trHeight w:val="300" w:hRule="atLeast"/>
          <w:tblHeader w:val="0"/>
        </w:trPr>
        <w:tc>
          <w:tcPr>
            <w:vAlign w:val="center"/>
          </w:tcPr>
          <w:p w:rsidR="00000000" w:rsidDel="00000000" w:rsidP="00000000" w:rsidRDefault="00000000" w:rsidRPr="00000000" w14:paraId="0000000F">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KUPONSKA KAMATNA STOPA:</w:t>
            </w:r>
          </w:p>
        </w:tc>
        <w:tc>
          <w:tcPr>
            <w:vAlign w:val="center"/>
          </w:tcPr>
          <w:p w:rsidR="00000000" w:rsidDel="00000000" w:rsidP="00000000" w:rsidRDefault="00000000" w:rsidRPr="00000000" w14:paraId="00000010">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od 10 % godišnje, fiksna za pojedini upis, ovisno o popunjenosti izdanja u trenutku uplate kako je opisano u nastavku ove Odluke </w:t>
            </w:r>
          </w:p>
        </w:tc>
      </w:tr>
      <w:tr>
        <w:trPr>
          <w:cantSplit w:val="0"/>
          <w:trHeight w:val="300" w:hRule="atLeast"/>
          <w:tblHeader w:val="0"/>
        </w:trPr>
        <w:tc>
          <w:tcPr>
            <w:vAlign w:val="center"/>
          </w:tcPr>
          <w:p w:rsidR="00000000" w:rsidDel="00000000" w:rsidP="00000000" w:rsidRDefault="00000000" w:rsidRPr="00000000" w14:paraId="00000011">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ISPLATA KUPONSKE KAMATNE STOPE:</w:t>
            </w:r>
          </w:p>
        </w:tc>
        <w:tc>
          <w:tcPr>
            <w:vAlign w:val="center"/>
          </w:tcPr>
          <w:p w:rsidR="00000000" w:rsidDel="00000000" w:rsidP="00000000" w:rsidRDefault="00000000" w:rsidRPr="00000000" w14:paraId="00000012">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polugodišnje</w:t>
            </w:r>
          </w:p>
        </w:tc>
      </w:tr>
      <w:tr>
        <w:trPr>
          <w:cantSplit w:val="0"/>
          <w:trHeight w:val="300" w:hRule="atLeast"/>
          <w:tblHeader w:val="0"/>
        </w:trPr>
        <w:tc>
          <w:tcPr>
            <w:vAlign w:val="center"/>
          </w:tcPr>
          <w:p w:rsidR="00000000" w:rsidDel="00000000" w:rsidP="00000000" w:rsidRDefault="00000000" w:rsidRPr="00000000" w14:paraId="00000013">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ISPLATA GLAVNICE:</w:t>
            </w:r>
          </w:p>
        </w:tc>
        <w:tc>
          <w:tcPr>
            <w:vAlign w:val="center"/>
          </w:tcPr>
          <w:p w:rsidR="00000000" w:rsidDel="00000000" w:rsidP="00000000" w:rsidRDefault="00000000" w:rsidRPr="00000000" w14:paraId="00000014">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jednokratno na kraju izdanja</w:t>
            </w:r>
          </w:p>
        </w:tc>
      </w:tr>
      <w:tr>
        <w:trPr>
          <w:cantSplit w:val="0"/>
          <w:trHeight w:val="300" w:hRule="atLeast"/>
          <w:tblHeader w:val="0"/>
        </w:trPr>
        <w:tc>
          <w:tcPr>
            <w:vAlign w:val="center"/>
          </w:tcPr>
          <w:p w:rsidR="00000000" w:rsidDel="00000000" w:rsidP="00000000" w:rsidRDefault="00000000" w:rsidRPr="00000000" w14:paraId="00000015">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VRSTA OBVEZNICE: </w:t>
            </w:r>
          </w:p>
        </w:tc>
        <w:tc>
          <w:tcPr>
            <w:vAlign w:val="center"/>
          </w:tcPr>
          <w:p w:rsidR="00000000" w:rsidDel="00000000" w:rsidP="00000000" w:rsidRDefault="00000000" w:rsidRPr="00000000" w14:paraId="00000016">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konvertibilna</w:t>
            </w:r>
          </w:p>
        </w:tc>
      </w:tr>
      <w:tr>
        <w:trPr>
          <w:cantSplit w:val="0"/>
          <w:trHeight w:val="300" w:hRule="atLeast"/>
          <w:tblHeader w:val="0"/>
        </w:trPr>
        <w:tc>
          <w:tcPr>
            <w:vAlign w:val="center"/>
          </w:tcPr>
          <w:p w:rsidR="00000000" w:rsidDel="00000000" w:rsidP="00000000" w:rsidRDefault="00000000" w:rsidRPr="00000000" w14:paraId="00000017">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MINIMALNI UPIS:</w:t>
            </w:r>
          </w:p>
        </w:tc>
        <w:tc>
          <w:tcPr>
            <w:vAlign w:val="center"/>
          </w:tcPr>
          <w:p w:rsidR="00000000" w:rsidDel="00000000" w:rsidP="00000000" w:rsidRDefault="00000000" w:rsidRPr="00000000" w14:paraId="00000018">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50.000,00 EUR</w:t>
            </w:r>
          </w:p>
        </w:tc>
      </w:tr>
      <w:tr>
        <w:trPr>
          <w:cantSplit w:val="0"/>
          <w:trHeight w:val="300" w:hRule="atLeast"/>
          <w:tblHeader w:val="0"/>
        </w:trPr>
        <w:tc>
          <w:tcPr>
            <w:vAlign w:val="center"/>
          </w:tcPr>
          <w:p w:rsidR="00000000" w:rsidDel="00000000" w:rsidP="00000000" w:rsidRDefault="00000000" w:rsidRPr="00000000" w14:paraId="00000019">
            <w:pPr>
              <w:spacing w:after="0" w:line="240" w:lineRule="auto"/>
              <w:rPr>
                <w:rFonts w:ascii="Verdana" w:cs="Verdana" w:eastAsia="Verdana" w:hAnsi="Verdana"/>
                <w:sz w:val="18"/>
                <w:szCs w:val="18"/>
              </w:rPr>
            </w:pPr>
            <w:r w:rsidDel="00000000" w:rsidR="00000000" w:rsidRPr="00000000">
              <w:rPr>
                <w:rtl w:val="0"/>
              </w:rPr>
            </w:r>
          </w:p>
        </w:tc>
        <w:tc>
          <w:tcPr>
            <w:vAlign w:val="center"/>
          </w:tcPr>
          <w:p w:rsidR="00000000" w:rsidDel="00000000" w:rsidP="00000000" w:rsidRDefault="00000000" w:rsidRPr="00000000" w14:paraId="0000001A">
            <w:pPr>
              <w:spacing w:after="0" w:line="240" w:lineRule="auto"/>
              <w:rPr>
                <w:rFonts w:ascii="Verdana" w:cs="Verdana" w:eastAsia="Verdana" w:hAnsi="Verdana"/>
                <w:sz w:val="18"/>
                <w:szCs w:val="18"/>
              </w:rPr>
            </w:pPr>
            <w:r w:rsidDel="00000000" w:rsidR="00000000" w:rsidRPr="00000000">
              <w:rPr>
                <w:rtl w:val="0"/>
              </w:rPr>
            </w:r>
          </w:p>
        </w:tc>
      </w:tr>
    </w:tbl>
    <w:p w:rsidR="00000000" w:rsidDel="00000000" w:rsidP="00000000" w:rsidRDefault="00000000" w:rsidRPr="00000000" w14:paraId="0000001B">
      <w:pPr>
        <w:spacing w:line="276"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Uprava Društva može donijeti odluku o prijevremenom otkupu obveznica od trenutka izdanja obveznica do njenog dospijeća. Ukoliko neće biti prijevremenog otkupa glavnice, glavnice će se vratiti jednokratno na kraju izdanja, dok se kuponska kamatna stopa isplaćuje na kraju svakog polugodišta od dana upisa. </w:t>
      </w:r>
    </w:p>
    <w:p w:rsidR="00000000" w:rsidDel="00000000" w:rsidP="00000000" w:rsidRDefault="00000000" w:rsidRPr="00000000" w14:paraId="0000001C">
      <w:pPr>
        <w:spacing w:line="276"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Za navedeno koristimo iznimku od objave prospekta u skladu s primjenjivim odredbama članka 409. i članka 427. Zakona o tržištu kapitala.</w:t>
      </w:r>
    </w:p>
    <w:p w:rsidR="00000000" w:rsidDel="00000000" w:rsidP="00000000" w:rsidRDefault="00000000" w:rsidRPr="00000000" w14:paraId="0000001D">
      <w:pPr>
        <w:spacing w:before="240" w:line="276"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Izdavatelj može donijeti odluku o prijevremenom otkupu obveznica, u cijelosti ili djelomično, uz isplatu nominalnog iznosa i pripadajuće kamate do dana otkupa, uz obavijest imateljima najmanje 60 dana unaprijed. Prijevremeni otkup može se provesti i prije isteka roka u kojem imatelj može podnijeti zahtjev za konverziju. </w:t>
      </w:r>
    </w:p>
    <w:p w:rsidR="00000000" w:rsidDel="00000000" w:rsidP="00000000" w:rsidRDefault="00000000" w:rsidRPr="00000000" w14:paraId="0000001E">
      <w:pPr>
        <w:spacing w:before="240" w:line="276"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Također, obveznica ima opciju konverzije u vlasničke udjele koja će se omogućiti po sljedećim parametrima:</w:t>
      </w:r>
    </w:p>
    <w:p w:rsidR="00000000" w:rsidDel="00000000" w:rsidP="00000000" w:rsidRDefault="00000000" w:rsidRPr="00000000" w14:paraId="0000001F">
      <w:pPr>
        <w:numPr>
          <w:ilvl w:val="0"/>
          <w:numId w:val="1"/>
        </w:numPr>
        <w:spacing w:after="0" w:before="280" w:line="276" w:lineRule="auto"/>
        <w:ind w:left="720" w:hanging="36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Ovom odlukom utvrđuje se mogućnost zamjene (konverzije) obveznica u vlasničke udjele Društva, ovisno o pravnom obliku Društva u trenutku konverzije.</w:t>
      </w:r>
    </w:p>
    <w:p w:rsidR="00000000" w:rsidDel="00000000" w:rsidP="00000000" w:rsidRDefault="00000000" w:rsidRPr="00000000" w14:paraId="00000020">
      <w:pPr>
        <w:numPr>
          <w:ilvl w:val="1"/>
          <w:numId w:val="1"/>
        </w:numPr>
        <w:spacing w:after="0" w:line="276" w:lineRule="auto"/>
        <w:ind w:left="1440" w:hanging="360"/>
        <w:jc w:val="both"/>
        <w:rPr/>
      </w:pPr>
      <w:r w:rsidDel="00000000" w:rsidR="00000000" w:rsidRPr="00000000">
        <w:rPr>
          <w:rFonts w:ascii="Verdana" w:cs="Verdana" w:eastAsia="Verdana" w:hAnsi="Verdana"/>
          <w:sz w:val="18"/>
          <w:szCs w:val="18"/>
          <w:rtl w:val="0"/>
        </w:rPr>
        <w:t xml:space="preserve">Vrste konverzije</w:t>
      </w:r>
      <w:r w:rsidDel="00000000" w:rsidR="00000000" w:rsidRPr="00000000">
        <w:rPr>
          <w:rtl w:val="0"/>
        </w:rPr>
      </w:r>
    </w:p>
    <w:p w:rsidR="00000000" w:rsidDel="00000000" w:rsidP="00000000" w:rsidRDefault="00000000" w:rsidRPr="00000000" w14:paraId="00000021">
      <w:pPr>
        <w:numPr>
          <w:ilvl w:val="2"/>
          <w:numId w:val="1"/>
        </w:numPr>
        <w:spacing w:after="0" w:line="276" w:lineRule="auto"/>
        <w:ind w:left="2160" w:hanging="360"/>
        <w:jc w:val="both"/>
        <w:rPr/>
      </w:pPr>
      <w:r w:rsidDel="00000000" w:rsidR="00000000" w:rsidRPr="00000000">
        <w:rPr>
          <w:rFonts w:ascii="Verdana" w:cs="Verdana" w:eastAsia="Verdana" w:hAnsi="Verdana"/>
          <w:sz w:val="18"/>
          <w:szCs w:val="18"/>
          <w:rtl w:val="0"/>
        </w:rPr>
        <w:t xml:space="preserve">Investitor može samostalno svojom odlukom, djelomično ili u cijelosti, zamijeniti nominalni iznos obveznice za:</w:t>
      </w:r>
      <w:r w:rsidDel="00000000" w:rsidR="00000000" w:rsidRPr="00000000">
        <w:rPr>
          <w:rtl w:val="0"/>
        </w:rPr>
      </w:r>
    </w:p>
    <w:p w:rsidR="00000000" w:rsidDel="00000000" w:rsidP="00000000" w:rsidRDefault="00000000" w:rsidRPr="00000000" w14:paraId="00000022">
      <w:pPr>
        <w:numPr>
          <w:ilvl w:val="3"/>
          <w:numId w:val="1"/>
        </w:numPr>
        <w:spacing w:after="0" w:line="276" w:lineRule="auto"/>
        <w:ind w:left="2880" w:hanging="36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poslovne udjele u Društvu ako je Društvo u obliku d.o.o., ili</w:t>
      </w:r>
    </w:p>
    <w:p w:rsidR="00000000" w:rsidDel="00000000" w:rsidP="00000000" w:rsidRDefault="00000000" w:rsidRPr="00000000" w14:paraId="00000023">
      <w:pPr>
        <w:numPr>
          <w:ilvl w:val="3"/>
          <w:numId w:val="1"/>
        </w:numPr>
        <w:spacing w:after="0" w:line="276" w:lineRule="auto"/>
        <w:ind w:left="2880" w:hanging="36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dionice Društva ako je Društvo prethodno preoblikovano u d.d.</w:t>
      </w:r>
    </w:p>
    <w:p w:rsidR="00000000" w:rsidDel="00000000" w:rsidP="00000000" w:rsidRDefault="00000000" w:rsidRPr="00000000" w14:paraId="00000024">
      <w:pPr>
        <w:numPr>
          <w:ilvl w:val="1"/>
          <w:numId w:val="1"/>
        </w:numPr>
        <w:spacing w:after="0" w:line="276" w:lineRule="auto"/>
        <w:ind w:left="1440" w:hanging="360"/>
        <w:jc w:val="both"/>
        <w:rPr/>
      </w:pPr>
      <w:r w:rsidDel="00000000" w:rsidR="00000000" w:rsidRPr="00000000">
        <w:rPr>
          <w:rFonts w:ascii="Verdana" w:cs="Verdana" w:eastAsia="Verdana" w:hAnsi="Verdana"/>
          <w:sz w:val="18"/>
          <w:szCs w:val="18"/>
          <w:rtl w:val="0"/>
        </w:rPr>
        <w:t xml:space="preserve">Društvo nema pravo inicirati zahtjev za konverzijom niti na bilo koji način utjecati na odluku Investitora.</w:t>
      </w:r>
      <w:r w:rsidDel="00000000" w:rsidR="00000000" w:rsidRPr="00000000">
        <w:rPr>
          <w:rtl w:val="0"/>
        </w:rPr>
      </w:r>
    </w:p>
    <w:p w:rsidR="00000000" w:rsidDel="00000000" w:rsidP="00000000" w:rsidRDefault="00000000" w:rsidRPr="00000000" w14:paraId="00000025">
      <w:pPr>
        <w:numPr>
          <w:ilvl w:val="1"/>
          <w:numId w:val="1"/>
        </w:numPr>
        <w:spacing w:after="0" w:line="240" w:lineRule="auto"/>
        <w:ind w:left="1440" w:hanging="360"/>
        <w:jc w:val="both"/>
        <w:rPr/>
      </w:pPr>
      <w:r w:rsidDel="00000000" w:rsidR="00000000" w:rsidRPr="00000000">
        <w:rPr>
          <w:rFonts w:ascii="Verdana" w:cs="Verdana" w:eastAsia="Verdana" w:hAnsi="Verdana"/>
          <w:sz w:val="18"/>
          <w:szCs w:val="18"/>
          <w:rtl w:val="0"/>
        </w:rPr>
        <w:t xml:space="preserve">Svaki investitor može zamijeniti vrijednost obveznice za vlasničke udjele Društva pri čemu će se omjer iznosa obveznice i udjela utvrditi prema vrijednosti Društva utvrđenoj najkasnije do dana 31.12.2027.</w:t>
      </w:r>
      <w:r w:rsidDel="00000000" w:rsidR="00000000" w:rsidRPr="00000000">
        <w:rPr>
          <w:rtl w:val="0"/>
        </w:rPr>
      </w:r>
    </w:p>
    <w:p w:rsidR="00000000" w:rsidDel="00000000" w:rsidP="00000000" w:rsidRDefault="00000000" w:rsidRPr="00000000" w14:paraId="00000026">
      <w:pPr>
        <w:numPr>
          <w:ilvl w:val="1"/>
          <w:numId w:val="1"/>
        </w:numPr>
        <w:spacing w:after="0" w:line="240" w:lineRule="auto"/>
        <w:ind w:left="1440" w:hanging="360"/>
        <w:jc w:val="both"/>
        <w:rPr/>
      </w:pPr>
      <w:r w:rsidDel="00000000" w:rsidR="00000000" w:rsidRPr="00000000">
        <w:rPr>
          <w:rFonts w:ascii="Verdana" w:cs="Verdana" w:eastAsia="Verdana" w:hAnsi="Verdana"/>
          <w:sz w:val="18"/>
          <w:szCs w:val="18"/>
          <w:rtl w:val="0"/>
        </w:rPr>
        <w:t xml:space="preserve">Uprava Društva se obvezuje angažirati vanjskog konzultanta koji će izraditi službenu procjenu vrijednosti Društva</w:t>
      </w:r>
      <w:r w:rsidDel="00000000" w:rsidR="00000000" w:rsidRPr="00000000">
        <w:rPr>
          <w:rtl w:val="0"/>
        </w:rPr>
      </w:r>
    </w:p>
    <w:p w:rsidR="00000000" w:rsidDel="00000000" w:rsidP="00000000" w:rsidRDefault="00000000" w:rsidRPr="00000000" w14:paraId="00000027">
      <w:pPr>
        <w:numPr>
          <w:ilvl w:val="1"/>
          <w:numId w:val="1"/>
        </w:numPr>
        <w:spacing w:after="0" w:line="240" w:lineRule="auto"/>
        <w:ind w:left="1440" w:hanging="360"/>
        <w:jc w:val="both"/>
        <w:rPr/>
      </w:pPr>
      <w:r w:rsidDel="00000000" w:rsidR="00000000" w:rsidRPr="00000000">
        <w:rPr>
          <w:rFonts w:ascii="Verdana" w:cs="Verdana" w:eastAsia="Verdana" w:hAnsi="Verdana"/>
          <w:sz w:val="18"/>
          <w:szCs w:val="18"/>
          <w:rtl w:val="0"/>
        </w:rPr>
        <w:t xml:space="preserve">Uprava Društva se obvezuje najkasnije do dana 31.10.2027. godine angažirati konzultanta koji će izraditi službenu procjenu vrijednosti Društva</w:t>
      </w:r>
      <w:r w:rsidDel="00000000" w:rsidR="00000000" w:rsidRPr="00000000">
        <w:rPr>
          <w:rtl w:val="0"/>
        </w:rPr>
      </w:r>
    </w:p>
    <w:p w:rsidR="00000000" w:rsidDel="00000000" w:rsidP="00000000" w:rsidRDefault="00000000" w:rsidRPr="00000000" w14:paraId="00000028">
      <w:pPr>
        <w:numPr>
          <w:ilvl w:val="1"/>
          <w:numId w:val="1"/>
        </w:numPr>
        <w:spacing w:after="0" w:line="240" w:lineRule="auto"/>
        <w:ind w:left="1440" w:hanging="360"/>
        <w:jc w:val="both"/>
        <w:rPr/>
      </w:pPr>
      <w:r w:rsidDel="00000000" w:rsidR="00000000" w:rsidRPr="00000000">
        <w:rPr>
          <w:rFonts w:ascii="Verdana" w:cs="Verdana" w:eastAsia="Verdana" w:hAnsi="Verdana"/>
          <w:sz w:val="18"/>
          <w:szCs w:val="18"/>
          <w:rtl w:val="0"/>
        </w:rPr>
        <w:t xml:space="preserve">Uprava Društva se obvezuje najkasnije do dana 31.03.2028. godine razraditi model konverzije obveznica u udjele Društva i sazvati i skupštinu Društva radi donošenja odluke o načinu konverzije obveznica u udjele Društva</w:t>
      </w:r>
      <w:r w:rsidDel="00000000" w:rsidR="00000000" w:rsidRPr="00000000">
        <w:rPr>
          <w:rtl w:val="0"/>
        </w:rPr>
      </w:r>
    </w:p>
    <w:p w:rsidR="00000000" w:rsidDel="00000000" w:rsidP="00000000" w:rsidRDefault="00000000" w:rsidRPr="00000000" w14:paraId="00000029">
      <w:pPr>
        <w:numPr>
          <w:ilvl w:val="1"/>
          <w:numId w:val="1"/>
        </w:numPr>
        <w:spacing w:after="0" w:line="240" w:lineRule="auto"/>
        <w:ind w:left="1440" w:hanging="360"/>
        <w:jc w:val="both"/>
        <w:rPr/>
      </w:pPr>
      <w:r w:rsidDel="00000000" w:rsidR="00000000" w:rsidRPr="00000000">
        <w:rPr>
          <w:rFonts w:ascii="Verdana" w:cs="Verdana" w:eastAsia="Verdana" w:hAnsi="Verdana"/>
          <w:sz w:val="18"/>
          <w:szCs w:val="18"/>
          <w:rtl w:val="0"/>
        </w:rPr>
        <w:t xml:space="preserve">Instrument u koji će se obveznice moći konvertirati (poslovni udio, redovna dionica pojedine klase ili povlaštena dionica) kao i karakteristike toga instrumenta će biti objavljeni u trenutku kada Društvo ponudi konverziju investitorima sukladno rokovima iz ove odluke</w:t>
      </w:r>
      <w:r w:rsidDel="00000000" w:rsidR="00000000" w:rsidRPr="00000000">
        <w:rPr>
          <w:rtl w:val="0"/>
        </w:rPr>
      </w:r>
    </w:p>
    <w:p w:rsidR="00000000" w:rsidDel="00000000" w:rsidP="00000000" w:rsidRDefault="00000000" w:rsidRPr="00000000" w14:paraId="0000002A">
      <w:pPr>
        <w:numPr>
          <w:ilvl w:val="1"/>
          <w:numId w:val="1"/>
        </w:numPr>
        <w:spacing w:after="0" w:line="276" w:lineRule="auto"/>
        <w:ind w:left="1440" w:hanging="360"/>
        <w:jc w:val="both"/>
        <w:rPr/>
      </w:pPr>
      <w:r w:rsidDel="00000000" w:rsidR="00000000" w:rsidRPr="00000000">
        <w:rPr>
          <w:rFonts w:ascii="Verdana" w:cs="Verdana" w:eastAsia="Verdana" w:hAnsi="Verdana"/>
          <w:sz w:val="18"/>
          <w:szCs w:val="18"/>
          <w:rtl w:val="0"/>
        </w:rPr>
        <w:t xml:space="preserve">Uprava će na zahtjev investitora sazvati skupštinu Društva radi donošenja odluke o povećanju temeljnog kapitala Društva izdavanjem novih udjela u cilju ostvarivanja prava investitora na konverziju obveznice u udjele Društva</w:t>
      </w:r>
      <w:r w:rsidDel="00000000" w:rsidR="00000000" w:rsidRPr="00000000">
        <w:rPr>
          <w:rtl w:val="0"/>
        </w:rPr>
      </w:r>
    </w:p>
    <w:p w:rsidR="00000000" w:rsidDel="00000000" w:rsidP="00000000" w:rsidRDefault="00000000" w:rsidRPr="00000000" w14:paraId="0000002B">
      <w:pPr>
        <w:numPr>
          <w:ilvl w:val="1"/>
          <w:numId w:val="1"/>
        </w:numPr>
        <w:spacing w:after="0" w:line="276" w:lineRule="auto"/>
        <w:ind w:left="1440" w:hanging="360"/>
        <w:jc w:val="both"/>
        <w:rPr/>
      </w:pPr>
      <w:r w:rsidDel="00000000" w:rsidR="00000000" w:rsidRPr="00000000">
        <w:rPr>
          <w:rFonts w:ascii="Verdana" w:cs="Verdana" w:eastAsia="Verdana" w:hAnsi="Verdana"/>
          <w:sz w:val="18"/>
          <w:szCs w:val="18"/>
          <w:rtl w:val="0"/>
        </w:rPr>
        <w:t xml:space="preserve">Obveza uprave</w:t>
      </w:r>
      <w:r w:rsidDel="00000000" w:rsidR="00000000" w:rsidRPr="00000000">
        <w:rPr>
          <w:rtl w:val="0"/>
        </w:rPr>
      </w:r>
    </w:p>
    <w:p w:rsidR="00000000" w:rsidDel="00000000" w:rsidP="00000000" w:rsidRDefault="00000000" w:rsidRPr="00000000" w14:paraId="0000002C">
      <w:pPr>
        <w:spacing w:after="0" w:line="276" w:lineRule="auto"/>
        <w:ind w:left="1440"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Uprava Društva se obvezuje da će, najkasnije 30.06.2028.:</w:t>
      </w:r>
    </w:p>
    <w:p w:rsidR="00000000" w:rsidDel="00000000" w:rsidP="00000000" w:rsidRDefault="00000000" w:rsidRPr="00000000" w14:paraId="0000002D">
      <w:pPr>
        <w:numPr>
          <w:ilvl w:val="2"/>
          <w:numId w:val="1"/>
        </w:numPr>
        <w:spacing w:after="0" w:line="276" w:lineRule="auto"/>
        <w:ind w:left="2160" w:hanging="360"/>
        <w:jc w:val="both"/>
        <w:rPr/>
      </w:pPr>
      <w:r w:rsidDel="00000000" w:rsidR="00000000" w:rsidRPr="00000000">
        <w:rPr>
          <w:rFonts w:ascii="Verdana" w:cs="Verdana" w:eastAsia="Verdana" w:hAnsi="Verdana"/>
          <w:sz w:val="18"/>
          <w:szCs w:val="18"/>
          <w:rtl w:val="0"/>
        </w:rPr>
        <w:t xml:space="preserve">Izraditi prijedlog tehničkog i pravnog modela konverzije obveznica u vlasničke udjele,</w:t>
      </w:r>
      <w:r w:rsidDel="00000000" w:rsidR="00000000" w:rsidRPr="00000000">
        <w:rPr>
          <w:rtl w:val="0"/>
        </w:rPr>
      </w:r>
    </w:p>
    <w:p w:rsidR="00000000" w:rsidDel="00000000" w:rsidP="00000000" w:rsidRDefault="00000000" w:rsidRPr="00000000" w14:paraId="0000002E">
      <w:pPr>
        <w:numPr>
          <w:ilvl w:val="2"/>
          <w:numId w:val="1"/>
        </w:numPr>
        <w:pBdr>
          <w:top w:space="0" w:sz="0" w:val="nil"/>
          <w:left w:space="0" w:sz="0" w:val="nil"/>
          <w:bottom w:space="0" w:sz="0" w:val="nil"/>
          <w:right w:space="0" w:sz="0" w:val="nil"/>
          <w:between w:space="0" w:sz="0" w:val="nil"/>
        </w:pBdr>
        <w:spacing w:after="0" w:line="276" w:lineRule="auto"/>
        <w:ind w:left="2160" w:hanging="360"/>
        <w:jc w:val="both"/>
        <w:rPr/>
      </w:pPr>
      <w:r w:rsidDel="00000000" w:rsidR="00000000" w:rsidRPr="00000000">
        <w:rPr>
          <w:rFonts w:ascii="Verdana" w:cs="Verdana" w:eastAsia="Verdana" w:hAnsi="Verdana"/>
          <w:sz w:val="18"/>
          <w:szCs w:val="18"/>
          <w:rtl w:val="0"/>
        </w:rPr>
        <w:t xml:space="preserve">Sazvati skupštinu Društva radi donošenja potrebnih odluka o provedbi konverzije, uključujući sve izmjene društvenih akata, kao i povećanje temeljnog kapitala ako je potrebno.</w:t>
      </w:r>
      <w:r w:rsidDel="00000000" w:rsidR="00000000" w:rsidRPr="00000000">
        <w:rPr>
          <w:rtl w:val="0"/>
        </w:rPr>
      </w:r>
    </w:p>
    <w:p w:rsidR="00000000" w:rsidDel="00000000" w:rsidP="00000000" w:rsidRDefault="00000000" w:rsidRPr="00000000" w14:paraId="0000002F">
      <w:pPr>
        <w:numPr>
          <w:ilvl w:val="2"/>
          <w:numId w:val="1"/>
        </w:numPr>
        <w:pBdr>
          <w:top w:space="0" w:sz="0" w:val="nil"/>
          <w:left w:space="0" w:sz="0" w:val="nil"/>
          <w:bottom w:space="0" w:sz="0" w:val="nil"/>
          <w:right w:space="0" w:sz="0" w:val="nil"/>
          <w:between w:space="0" w:sz="0" w:val="nil"/>
        </w:pBdr>
        <w:spacing w:after="0" w:line="276" w:lineRule="auto"/>
        <w:ind w:left="2160" w:hanging="360"/>
        <w:jc w:val="both"/>
        <w:rPr/>
      </w:pPr>
      <w:r w:rsidDel="00000000" w:rsidR="00000000" w:rsidRPr="00000000">
        <w:rPr>
          <w:rFonts w:ascii="Verdana" w:cs="Verdana" w:eastAsia="Verdana" w:hAnsi="Verdana"/>
          <w:sz w:val="18"/>
          <w:szCs w:val="18"/>
          <w:rtl w:val="0"/>
        </w:rPr>
        <w:t xml:space="preserve">U slučaju da Uprava ne provede navedene aktivnosti u predviđenom roku, investitor zadržava pravo zatražiti povrat obveznice po izvornim uvjetima.</w:t>
      </w:r>
      <w:r w:rsidDel="00000000" w:rsidR="00000000" w:rsidRPr="00000000">
        <w:rPr>
          <w:rtl w:val="0"/>
        </w:rPr>
      </w:r>
    </w:p>
    <w:p w:rsidR="00000000" w:rsidDel="00000000" w:rsidP="00000000" w:rsidRDefault="00000000" w:rsidRPr="00000000" w14:paraId="00000030">
      <w:pPr>
        <w:numPr>
          <w:ilvl w:val="2"/>
          <w:numId w:val="1"/>
        </w:numPr>
        <w:pBdr>
          <w:top w:space="0" w:sz="0" w:val="nil"/>
          <w:left w:space="0" w:sz="0" w:val="nil"/>
          <w:bottom w:space="0" w:sz="0" w:val="nil"/>
          <w:right w:space="0" w:sz="0" w:val="nil"/>
          <w:between w:space="0" w:sz="0" w:val="nil"/>
        </w:pBdr>
        <w:spacing w:after="0" w:line="276" w:lineRule="auto"/>
        <w:ind w:left="2160" w:hanging="360"/>
        <w:jc w:val="both"/>
        <w:rPr/>
      </w:pPr>
      <w:r w:rsidDel="00000000" w:rsidR="00000000" w:rsidRPr="00000000">
        <w:rPr>
          <w:rFonts w:ascii="Verdana" w:cs="Verdana" w:eastAsia="Verdana" w:hAnsi="Verdana"/>
          <w:sz w:val="18"/>
          <w:szCs w:val="18"/>
          <w:rtl w:val="0"/>
        </w:rPr>
        <w:t xml:space="preserve">Vrijednost Društva će utvrditi neovisni procjenitelj.</w:t>
      </w:r>
      <w:r w:rsidDel="00000000" w:rsidR="00000000" w:rsidRPr="00000000">
        <w:rPr>
          <w:rtl w:val="0"/>
        </w:rPr>
      </w:r>
    </w:p>
    <w:p w:rsidR="00000000" w:rsidDel="00000000" w:rsidP="00000000" w:rsidRDefault="00000000" w:rsidRPr="00000000" w14:paraId="00000031">
      <w:pPr>
        <w:spacing w:after="0" w:line="276" w:lineRule="auto"/>
        <w:ind w:left="2880" w:firstLine="0"/>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2">
      <w:pPr>
        <w:numPr>
          <w:ilvl w:val="0"/>
          <w:numId w:val="1"/>
        </w:numPr>
        <w:spacing w:after="0" w:line="276" w:lineRule="auto"/>
        <w:ind w:left="720" w:hanging="36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Postupak konverzije obveznice u udjele Društva:</w:t>
      </w:r>
    </w:p>
    <w:p w:rsidR="00000000" w:rsidDel="00000000" w:rsidP="00000000" w:rsidRDefault="00000000" w:rsidRPr="00000000" w14:paraId="00000033">
      <w:pPr>
        <w:numPr>
          <w:ilvl w:val="1"/>
          <w:numId w:val="1"/>
        </w:numPr>
        <w:spacing w:after="0" w:line="276" w:lineRule="auto"/>
        <w:ind w:left="1440" w:hanging="360"/>
        <w:jc w:val="both"/>
        <w:rPr/>
      </w:pPr>
      <w:r w:rsidDel="00000000" w:rsidR="00000000" w:rsidRPr="00000000">
        <w:rPr>
          <w:rFonts w:ascii="Verdana" w:cs="Verdana" w:eastAsia="Verdana" w:hAnsi="Verdana"/>
          <w:sz w:val="18"/>
          <w:szCs w:val="18"/>
          <w:rtl w:val="0"/>
        </w:rPr>
        <w:t xml:space="preserve">Investitor može, u bilo kojem trenutku sukladno točki 1., a najkasnije u roku od 30 mjeseci od dana registracije emisije obveznica iskazati interes za konverzijom slanjem pisanog zahtjeva putem e-maila na</w:t>
      </w:r>
      <w:r w:rsidDel="00000000" w:rsidR="00000000" w:rsidRPr="00000000">
        <w:rPr>
          <w:rFonts w:ascii="Verdana" w:cs="Verdana" w:eastAsia="Verdana" w:hAnsi="Verdana"/>
          <w:sz w:val="28"/>
          <w:szCs w:val="28"/>
          <w:rtl w:val="0"/>
        </w:rPr>
        <w:t xml:space="preserve"> </w:t>
      </w:r>
      <w:hyperlink r:id="rId7">
        <w:r w:rsidDel="00000000" w:rsidR="00000000" w:rsidRPr="00000000">
          <w:rPr>
            <w:rFonts w:ascii="Verdana" w:cs="Verdana" w:eastAsia="Verdana" w:hAnsi="Verdana"/>
            <w:color w:val="0000ee"/>
            <w:sz w:val="28"/>
            <w:szCs w:val="28"/>
            <w:u w:val="single"/>
            <w:vertAlign w:val="superscript"/>
            <w:rtl w:val="0"/>
          </w:rPr>
          <w:t xml:space="preserve">obveznice@koykan.com</w:t>
        </w:r>
      </w:hyperlink>
      <w:r w:rsidDel="00000000" w:rsidR="00000000" w:rsidRPr="00000000">
        <w:rPr>
          <w:rtl w:val="0"/>
        </w:rPr>
      </w:r>
    </w:p>
    <w:p w:rsidR="00000000" w:rsidDel="00000000" w:rsidP="00000000" w:rsidRDefault="00000000" w:rsidRPr="00000000" w14:paraId="00000034">
      <w:pPr>
        <w:numPr>
          <w:ilvl w:val="1"/>
          <w:numId w:val="1"/>
        </w:numPr>
        <w:spacing w:after="0" w:line="276" w:lineRule="auto"/>
        <w:ind w:left="1440" w:hanging="360"/>
        <w:jc w:val="both"/>
        <w:rPr/>
      </w:pPr>
      <w:r w:rsidDel="00000000" w:rsidR="00000000" w:rsidRPr="00000000">
        <w:rPr>
          <w:rFonts w:ascii="Verdana" w:cs="Verdana" w:eastAsia="Verdana" w:hAnsi="Verdana"/>
          <w:sz w:val="18"/>
          <w:szCs w:val="18"/>
          <w:rtl w:val="0"/>
        </w:rPr>
        <w:t xml:space="preserve">Odgovorna osoba potvrđuje primitak zahtjeva interesa u roku od 7 dana.</w:t>
      </w:r>
      <w:r w:rsidDel="00000000" w:rsidR="00000000" w:rsidRPr="00000000">
        <w:rPr>
          <w:rtl w:val="0"/>
        </w:rPr>
      </w:r>
    </w:p>
    <w:p w:rsidR="00000000" w:rsidDel="00000000" w:rsidP="00000000" w:rsidRDefault="00000000" w:rsidRPr="00000000" w14:paraId="00000035">
      <w:pPr>
        <w:numPr>
          <w:ilvl w:val="1"/>
          <w:numId w:val="1"/>
        </w:numPr>
        <w:spacing w:after="0" w:line="276" w:lineRule="auto"/>
        <w:ind w:left="1440" w:hanging="360"/>
        <w:jc w:val="both"/>
        <w:rPr/>
      </w:pPr>
      <w:r w:rsidDel="00000000" w:rsidR="00000000" w:rsidRPr="00000000">
        <w:rPr>
          <w:rFonts w:ascii="Verdana" w:cs="Verdana" w:eastAsia="Verdana" w:hAnsi="Verdana"/>
          <w:sz w:val="18"/>
          <w:szCs w:val="18"/>
          <w:rtl w:val="0"/>
        </w:rPr>
        <w:t xml:space="preserve">Uprava Društva obvezna je donijeti odluku o sazivanju skupštine radi provedbe konverzije, kako bi se pravovremeno omogućila realizacija prava investitora.</w:t>
      </w:r>
      <w:r w:rsidDel="00000000" w:rsidR="00000000" w:rsidRPr="00000000">
        <w:rPr>
          <w:rtl w:val="0"/>
        </w:rPr>
      </w:r>
    </w:p>
    <w:p w:rsidR="00000000" w:rsidDel="00000000" w:rsidP="00000000" w:rsidRDefault="00000000" w:rsidRPr="00000000" w14:paraId="00000036">
      <w:pPr>
        <w:numPr>
          <w:ilvl w:val="1"/>
          <w:numId w:val="1"/>
        </w:numPr>
        <w:spacing w:after="0" w:line="276" w:lineRule="auto"/>
        <w:ind w:left="1440" w:hanging="360"/>
        <w:jc w:val="both"/>
        <w:rPr/>
      </w:pPr>
      <w:r w:rsidDel="00000000" w:rsidR="00000000" w:rsidRPr="00000000">
        <w:rPr>
          <w:rFonts w:ascii="Verdana" w:cs="Verdana" w:eastAsia="Verdana" w:hAnsi="Verdana"/>
          <w:sz w:val="18"/>
          <w:szCs w:val="18"/>
          <w:rtl w:val="0"/>
        </w:rPr>
        <w:t xml:space="preserve">Investitor će prilikom realizacije svojih prava biti pravovremeno upoznat sa svim uvjetima konverzije, uključivo i procijenjenu vrijednost društva prilikom konverzije i biti će pozvan da samostalno svojom odlukom, djelomično ili u cijelosti pismeno potvrdi zahtjev za konverzijom putem e-maila.</w:t>
      </w:r>
      <w:r w:rsidDel="00000000" w:rsidR="00000000" w:rsidRPr="00000000">
        <w:rPr>
          <w:rtl w:val="0"/>
        </w:rPr>
      </w:r>
    </w:p>
    <w:p w:rsidR="00000000" w:rsidDel="00000000" w:rsidP="00000000" w:rsidRDefault="00000000" w:rsidRPr="00000000" w14:paraId="00000037">
      <w:pPr>
        <w:numPr>
          <w:ilvl w:val="1"/>
          <w:numId w:val="1"/>
        </w:numPr>
        <w:spacing w:after="0" w:line="276" w:lineRule="auto"/>
        <w:ind w:left="1440" w:hanging="360"/>
        <w:jc w:val="both"/>
        <w:rPr/>
      </w:pPr>
      <w:r w:rsidDel="00000000" w:rsidR="00000000" w:rsidRPr="00000000">
        <w:rPr>
          <w:rFonts w:ascii="Verdana" w:cs="Verdana" w:eastAsia="Verdana" w:hAnsi="Verdana"/>
          <w:sz w:val="18"/>
          <w:szCs w:val="18"/>
          <w:rtl w:val="0"/>
        </w:rPr>
        <w:t xml:space="preserve">Skupština Društva donosi odgovarajuće odluke koje uključuju povećanje temeljnog kapitala izdavanjem novih udjela ili vrijednosnih papira, i provodi druge relevantne korporativne radnje.</w:t>
      </w:r>
      <w:r w:rsidDel="00000000" w:rsidR="00000000" w:rsidRPr="00000000">
        <w:rPr>
          <w:rtl w:val="0"/>
        </w:rPr>
      </w:r>
    </w:p>
    <w:p w:rsidR="00000000" w:rsidDel="00000000" w:rsidP="00000000" w:rsidRDefault="00000000" w:rsidRPr="00000000" w14:paraId="00000038">
      <w:pPr>
        <w:numPr>
          <w:ilvl w:val="1"/>
          <w:numId w:val="1"/>
        </w:numPr>
        <w:pBdr>
          <w:top w:space="0" w:sz="0" w:val="nil"/>
          <w:left w:space="0" w:sz="0" w:val="nil"/>
          <w:bottom w:space="0" w:sz="0" w:val="nil"/>
          <w:right w:space="0" w:sz="0" w:val="nil"/>
          <w:between w:space="0" w:sz="0" w:val="nil"/>
        </w:pBdr>
        <w:spacing w:after="0" w:line="276" w:lineRule="auto"/>
        <w:ind w:left="1440" w:hanging="360"/>
        <w:jc w:val="both"/>
        <w:rPr/>
      </w:pPr>
      <w:r w:rsidDel="00000000" w:rsidR="00000000" w:rsidRPr="00000000">
        <w:rPr>
          <w:rFonts w:ascii="Verdana" w:cs="Verdana" w:eastAsia="Verdana" w:hAnsi="Verdana"/>
          <w:sz w:val="18"/>
          <w:szCs w:val="18"/>
          <w:rtl w:val="0"/>
        </w:rPr>
        <w:t xml:space="preserve">Nakon usvajanja tih odluka, poduzimaju se svi pravni i tehnički koraci u svrhu provedbe prijenosa obveznica te upisa novih udjela ili vrijednosnih papira u korist investitora.</w:t>
      </w:r>
      <w:r w:rsidDel="00000000" w:rsidR="00000000" w:rsidRPr="00000000">
        <w:rPr>
          <w:rtl w:val="0"/>
        </w:rPr>
      </w:r>
    </w:p>
    <w:p w:rsidR="00000000" w:rsidDel="00000000" w:rsidP="00000000" w:rsidRDefault="00000000" w:rsidRPr="00000000" w14:paraId="00000039">
      <w:pPr>
        <w:numPr>
          <w:ilvl w:val="1"/>
          <w:numId w:val="1"/>
        </w:numPr>
        <w:pBdr>
          <w:top w:space="0" w:sz="0" w:val="nil"/>
          <w:left w:space="0" w:sz="0" w:val="nil"/>
          <w:bottom w:space="0" w:sz="0" w:val="nil"/>
          <w:right w:space="0" w:sz="0" w:val="nil"/>
          <w:between w:space="0" w:sz="0" w:val="nil"/>
        </w:pBdr>
        <w:spacing w:after="0" w:line="276" w:lineRule="auto"/>
        <w:ind w:left="1440" w:hanging="360"/>
        <w:jc w:val="both"/>
        <w:rPr/>
      </w:pPr>
      <w:r w:rsidDel="00000000" w:rsidR="00000000" w:rsidRPr="00000000">
        <w:rPr>
          <w:rFonts w:ascii="Verdana" w:cs="Verdana" w:eastAsia="Verdana" w:hAnsi="Verdana"/>
          <w:sz w:val="18"/>
          <w:szCs w:val="18"/>
          <w:rtl w:val="0"/>
        </w:rPr>
        <w:t xml:space="preserve">Dostavljaju se ugovori nadležnim institucijama (npr. SKDD, sudski registar).</w:t>
      </w:r>
      <w:r w:rsidDel="00000000" w:rsidR="00000000" w:rsidRPr="00000000">
        <w:rPr>
          <w:rtl w:val="0"/>
        </w:rPr>
      </w:r>
    </w:p>
    <w:p w:rsidR="00000000" w:rsidDel="00000000" w:rsidP="00000000" w:rsidRDefault="00000000" w:rsidRPr="00000000" w14:paraId="0000003A">
      <w:pPr>
        <w:numPr>
          <w:ilvl w:val="1"/>
          <w:numId w:val="1"/>
        </w:numPr>
        <w:pBdr>
          <w:top w:space="0" w:sz="0" w:val="nil"/>
          <w:left w:space="0" w:sz="0" w:val="nil"/>
          <w:bottom w:space="0" w:sz="0" w:val="nil"/>
          <w:right w:space="0" w:sz="0" w:val="nil"/>
          <w:between w:space="0" w:sz="0" w:val="nil"/>
        </w:pBdr>
        <w:spacing w:after="0" w:line="276" w:lineRule="auto"/>
        <w:ind w:left="1440" w:hanging="360"/>
        <w:jc w:val="both"/>
        <w:rPr/>
      </w:pPr>
      <w:r w:rsidDel="00000000" w:rsidR="00000000" w:rsidRPr="00000000">
        <w:rPr>
          <w:rFonts w:ascii="Verdana" w:cs="Verdana" w:eastAsia="Verdana" w:hAnsi="Verdana"/>
          <w:sz w:val="18"/>
          <w:szCs w:val="18"/>
          <w:rtl w:val="0"/>
        </w:rPr>
        <w:t xml:space="preserve">Po završetku procesa, nadležna institucija službeno obavještava i investitora i Društvo o provedenoj konverziji.</w:t>
      </w: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276" w:lineRule="auto"/>
        <w:ind w:left="1440" w:firstLine="0"/>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C">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Svi postupci provedbe konverzije temelje se na važećem Zakonu o trgovačkim društvima i društvenim aktima Društva, a Uprava Društva odgovorna je za zakonitu i tehnički ispravnu provedbu.</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276" w:lineRule="auto"/>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276" w:lineRule="auto"/>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F">
      <w:pP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0">
      <w:pPr>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KOYKAN MIRNA d.o.o.</w:t>
      </w:r>
    </w:p>
    <w:p w:rsidR="00000000" w:rsidDel="00000000" w:rsidP="00000000" w:rsidRDefault="00000000" w:rsidRPr="00000000" w14:paraId="00000041">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Boro Milivojević, direktor</w:t>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850.3937007874016" w:top="850.3937007874016" w:left="850.3937007874016" w:right="850.3937007874016" w:header="425" w:footer="42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 w:name="Courier New"/>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spacing w:after="32" w:lineRule="auto"/>
      <w:ind w:left="-5" w:hanging="10"/>
      <w:rPr>
        <w:rFonts w:ascii="Century Gothic" w:cs="Century Gothic" w:eastAsia="Century Gothic" w:hAnsi="Century Gothic"/>
        <w:b w:val="1"/>
        <w:bCs w:val="1"/>
        <w:color w:val="ba8c6d"/>
        <w:sz w:val="15"/>
        <w:szCs w:val="15"/>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h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1" w:customStyle="1">
    <w:name w:val="Table Normal1"/>
    <w:tblPr>
      <w:tblCellMar>
        <w:top w:w="0.0" w:type="dxa"/>
        <w:left w:w="0.0" w:type="dxa"/>
        <w:bottom w:w="0.0" w:type="dxa"/>
        <w:right w:w="0.0" w:type="dxa"/>
      </w:tblCellMar>
    </w:tblPr>
  </w:style>
  <w:style w:type="table" w:styleId="TableNormal2" w:customStyle="1">
    <w:name w:val="Table Normal2"/>
    <w:tblPr>
      <w:tblCellMar>
        <w:top w:w="0.0" w:type="dxa"/>
        <w:left w:w="0.0" w:type="dxa"/>
        <w:bottom w:w="0.0" w:type="dxa"/>
        <w:right w:w="0.0" w:type="dxa"/>
      </w:tblCellMar>
    </w:tblPr>
  </w:style>
  <w:style w:type="table" w:styleId="TableNormal3" w:customStyle="1">
    <w:name w:val="Table Normal3"/>
    <w:tblPr>
      <w:tblCellMar>
        <w:top w:w="0.0" w:type="dxa"/>
        <w:left w:w="0.0" w:type="dxa"/>
        <w:bottom w:w="0.0" w:type="dxa"/>
        <w:right w:w="0.0" w:type="dxa"/>
      </w:tblCellMar>
    </w:tblPr>
  </w:style>
  <w:style w:type="paragraph" w:styleId="Header">
    <w:name w:val="header"/>
    <w:basedOn w:val="Normal"/>
    <w:link w:val="HeaderChar"/>
    <w:uiPriority w:val="99"/>
    <w:unhideWhenUsed w:val="1"/>
    <w:rsid w:val="00741896"/>
    <w:pPr>
      <w:tabs>
        <w:tab w:val="center" w:pos="4513"/>
        <w:tab w:val="right" w:pos="9026"/>
      </w:tabs>
      <w:spacing w:after="0" w:line="240" w:lineRule="auto"/>
    </w:pPr>
  </w:style>
  <w:style w:type="character" w:styleId="HeaderChar" w:customStyle="1">
    <w:name w:val="Header Char"/>
    <w:basedOn w:val="DefaultParagraphFont"/>
    <w:link w:val="Header"/>
    <w:uiPriority w:val="99"/>
    <w:rsid w:val="00741896"/>
    <w:rPr>
      <w:rFonts w:ascii="Calibri" w:cs="Calibri" w:eastAsia="Calibri" w:hAnsi="Calibri"/>
      <w:color w:val="000000"/>
    </w:rPr>
  </w:style>
  <w:style w:type="paragraph" w:styleId="Footer">
    <w:name w:val="footer"/>
    <w:basedOn w:val="Normal"/>
    <w:link w:val="FooterChar"/>
    <w:uiPriority w:val="99"/>
    <w:unhideWhenUsed w:val="1"/>
    <w:rsid w:val="00741896"/>
    <w:pPr>
      <w:tabs>
        <w:tab w:val="center" w:pos="4513"/>
        <w:tab w:val="right" w:pos="9026"/>
      </w:tabs>
      <w:spacing w:after="0" w:line="240" w:lineRule="auto"/>
    </w:pPr>
  </w:style>
  <w:style w:type="character" w:styleId="FooterChar" w:customStyle="1">
    <w:name w:val="Footer Char"/>
    <w:basedOn w:val="DefaultParagraphFont"/>
    <w:link w:val="Footer"/>
    <w:uiPriority w:val="99"/>
    <w:rsid w:val="00741896"/>
    <w:rPr>
      <w:rFonts w:ascii="Calibri" w:cs="Calibri" w:eastAsia="Calibri" w:hAnsi="Calibri"/>
      <w:color w:val="000000"/>
    </w:rPr>
  </w:style>
  <w:style w:type="paragraph" w:styleId="ListParagraph">
    <w:name w:val="List Paragraph"/>
    <w:basedOn w:val="Normal"/>
    <w:uiPriority w:val="72"/>
    <w:qFormat w:val="1"/>
    <w:rsid w:val="00F80DBE"/>
    <w:pPr>
      <w:spacing w:after="0" w:line="240" w:lineRule="auto"/>
      <w:ind w:left="720"/>
      <w:contextualSpacing w:val="1"/>
      <w:jc w:val="both"/>
    </w:pPr>
    <w:rPr>
      <w:rFonts w:cs="Times New Roman"/>
      <w:color w:val="auto"/>
      <w:lang w:eastAsia="en-US"/>
    </w:rPr>
  </w:style>
  <w:style w:type="table" w:styleId="TableGrid">
    <w:name w:val="Table Grid"/>
    <w:basedOn w:val="TableNormal"/>
    <w:uiPriority w:val="39"/>
    <w:rsid w:val="00F80DBE"/>
    <w:pPr>
      <w:spacing w:after="0" w:line="240" w:lineRule="auto"/>
    </w:pPr>
    <w:rPr>
      <w:rFonts w:asciiTheme="minorHAnsi" w:cstheme="minorBidi" w:eastAsiaTheme="minorHAnsi" w:hAnsiTheme="minorHAnsi"/>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 w:customStyle="1">
    <w:basedOn w:val="TableNormal3"/>
    <w:tblPr>
      <w:tblStyleRowBandSize w:val="1"/>
      <w:tblStyleColBandSize w:val="1"/>
      <w:tblCellMar>
        <w:left w:w="115.0" w:type="dxa"/>
        <w:right w:w="115.0" w:type="dxa"/>
      </w:tblCellMar>
    </w:tblPr>
  </w:style>
  <w:style w:type="table" w:styleId="a0" w:customStyle="1">
    <w:basedOn w:val="TableNormal3"/>
    <w:pPr>
      <w:spacing w:after="0" w:line="240" w:lineRule="auto"/>
    </w:pPr>
    <w:tblPr>
      <w:tblStyleRowBandSize w:val="1"/>
      <w:tblStyleColBandSize w:val="1"/>
      <w:tblCellMar>
        <w:left w:w="108.0" w:type="dxa"/>
        <w:right w:w="108.0" w:type="dxa"/>
      </w:tblCellMar>
    </w:tblPr>
  </w:style>
  <w:style w:type="table" w:styleId="a1" w:customStyle="1">
    <w:basedOn w:val="TableNormal3"/>
    <w:tblPr>
      <w:tblStyleRowBandSize w:val="1"/>
      <w:tblStyleColBandSize w:val="1"/>
      <w:tblCellMar>
        <w:left w:w="115.0" w:type="dxa"/>
        <w:right w:w="115.0" w:type="dxa"/>
      </w:tblCellMar>
    </w:tblPr>
  </w:style>
  <w:style w:type="table" w:styleId="a2" w:customStyle="1">
    <w:basedOn w:val="TableNormal3"/>
    <w:pPr>
      <w:spacing w:after="0" w:line="240" w:lineRule="auto"/>
    </w:pPr>
    <w:tblPr>
      <w:tblStyleRowBandSize w:val="1"/>
      <w:tblStyleColBandSize w:val="1"/>
      <w:tblCellMar>
        <w:left w:w="108.0" w:type="dxa"/>
        <w:right w:w="108.0" w:type="dxa"/>
      </w:tblCellMar>
    </w:tblPr>
  </w:style>
  <w:style w:type="table" w:styleId="a3" w:customStyle="1">
    <w:basedOn w:val="TableNormal3"/>
    <w:tblPr>
      <w:tblStyleRowBandSize w:val="1"/>
      <w:tblStyleColBandSize w:val="1"/>
      <w:tblCellMar>
        <w:left w:w="115.0" w:type="dxa"/>
        <w:right w:w="115.0" w:type="dxa"/>
      </w:tblCellMar>
    </w:tblPr>
  </w:style>
  <w:style w:type="table" w:styleId="a4" w:customStyle="1">
    <w:basedOn w:val="TableNormal3"/>
    <w:pPr>
      <w:spacing w:after="0" w:line="240" w:lineRule="auto"/>
    </w:pPr>
    <w:tblPr>
      <w:tblStyleRowBandSize w:val="1"/>
      <w:tblStyleColBandSize w:val="1"/>
      <w:tblCellMar>
        <w:left w:w="108.0" w:type="dxa"/>
        <w:right w:w="108.0" w:type="dxa"/>
      </w:tblCellMar>
    </w:tblPr>
  </w:style>
  <w:style w:type="table" w:styleId="a5" w:customStyle="1">
    <w:basedOn w:val="TableNormal3"/>
    <w:tblPr>
      <w:tblStyleRowBandSize w:val="1"/>
      <w:tblStyleColBandSize w:val="1"/>
      <w:tblCellMar>
        <w:left w:w="115.0" w:type="dxa"/>
        <w:right w:w="115.0" w:type="dxa"/>
      </w:tblCellMar>
    </w:tblPr>
  </w:style>
  <w:style w:type="table" w:styleId="a6" w:customStyle="1">
    <w:basedOn w:val="TableNormal3"/>
    <w:pPr>
      <w:spacing w:after="0" w:line="240" w:lineRule="auto"/>
    </w:pPr>
    <w:tblPr>
      <w:tblStyleRowBandSize w:val="1"/>
      <w:tblStyleColBandSize w:val="1"/>
      <w:tblCellMar>
        <w:left w:w="108.0" w:type="dxa"/>
        <w:right w:w="108.0" w:type="dxa"/>
      </w:tblCellMar>
    </w:tblPr>
  </w:style>
  <w:style w:type="table" w:styleId="a7" w:customStyle="1">
    <w:basedOn w:val="TableNormal3"/>
    <w:tblPr>
      <w:tblStyleRowBandSize w:val="1"/>
      <w:tblStyleColBandSize w:val="1"/>
      <w:tblCellMar>
        <w:left w:w="115.0" w:type="dxa"/>
        <w:right w:w="115.0" w:type="dxa"/>
      </w:tblCellMar>
    </w:tblPr>
  </w:style>
  <w:style w:type="table" w:styleId="a8" w:customStyle="1">
    <w:basedOn w:val="TableNormal3"/>
    <w:pPr>
      <w:spacing w:after="0" w:line="240" w:lineRule="auto"/>
    </w:pPr>
    <w:tblPr>
      <w:tblStyleRowBandSize w:val="1"/>
      <w:tblStyleColBandSize w:val="1"/>
      <w:tblCellMar>
        <w:left w:w="108.0" w:type="dxa"/>
        <w:right w:w="108.0" w:type="dxa"/>
      </w:tblCellMar>
    </w:tblPr>
  </w:style>
  <w:style w:type="table" w:styleId="a9" w:customStyle="1">
    <w:basedOn w:val="TableNormal3"/>
    <w:tblPr>
      <w:tblStyleRowBandSize w:val="1"/>
      <w:tblStyleColBandSize w:val="1"/>
      <w:tblCellMar>
        <w:left w:w="115.0" w:type="dxa"/>
        <w:right w:w="115.0" w:type="dxa"/>
      </w:tblCellMar>
    </w:tblPr>
  </w:style>
  <w:style w:type="table" w:styleId="aa" w:customStyle="1">
    <w:basedOn w:val="TableNormal3"/>
    <w:pPr>
      <w:spacing w:after="0" w:line="240" w:lineRule="auto"/>
    </w:pPr>
    <w:tblPr>
      <w:tblStyleRowBandSize w:val="1"/>
      <w:tblStyleColBandSize w:val="1"/>
      <w:tblCellMar>
        <w:left w:w="108.0" w:type="dxa"/>
        <w:right w:w="108.0" w:type="dxa"/>
      </w:tblCellMar>
    </w:tblPr>
  </w:style>
  <w:style w:type="paragraph" w:styleId="Revision">
    <w:name w:val="Revision"/>
    <w:hidden w:val="1"/>
    <w:uiPriority w:val="99"/>
    <w:semiHidden w:val="1"/>
    <w:rsid w:val="00D2005C"/>
    <w:pPr>
      <w:spacing w:after="0" w:line="240" w:lineRule="auto"/>
    </w:pPr>
    <w:rPr>
      <w:color w:val="000000"/>
    </w:rPr>
  </w:style>
  <w:style w:type="character" w:styleId="CommentReference">
    <w:name w:val="annotation reference"/>
    <w:basedOn w:val="DefaultParagraphFont"/>
    <w:uiPriority w:val="99"/>
    <w:semiHidden w:val="1"/>
    <w:unhideWhenUsed w:val="1"/>
    <w:rsid w:val="00D2005C"/>
    <w:rPr>
      <w:sz w:val="16"/>
      <w:szCs w:val="16"/>
    </w:rPr>
  </w:style>
  <w:style w:type="paragraph" w:styleId="CommentText">
    <w:name w:val="annotation text"/>
    <w:basedOn w:val="Normal"/>
    <w:link w:val="CommentTextChar"/>
    <w:uiPriority w:val="99"/>
    <w:unhideWhenUsed w:val="1"/>
    <w:rsid w:val="00D2005C"/>
    <w:pPr>
      <w:spacing w:line="240" w:lineRule="auto"/>
    </w:pPr>
    <w:rPr>
      <w:sz w:val="20"/>
      <w:szCs w:val="20"/>
    </w:rPr>
  </w:style>
  <w:style w:type="character" w:styleId="CommentTextChar" w:customStyle="1">
    <w:name w:val="Comment Text Char"/>
    <w:basedOn w:val="DefaultParagraphFont"/>
    <w:link w:val="CommentText"/>
    <w:uiPriority w:val="99"/>
    <w:rsid w:val="00D2005C"/>
    <w:rPr>
      <w:color w:val="000000"/>
      <w:sz w:val="20"/>
      <w:szCs w:val="20"/>
    </w:rPr>
  </w:style>
  <w:style w:type="paragraph" w:styleId="CommentSubject">
    <w:name w:val="annotation subject"/>
    <w:basedOn w:val="CommentText"/>
    <w:next w:val="CommentText"/>
    <w:link w:val="CommentSubjectChar"/>
    <w:uiPriority w:val="99"/>
    <w:semiHidden w:val="1"/>
    <w:unhideWhenUsed w:val="1"/>
    <w:rsid w:val="00D2005C"/>
    <w:rPr>
      <w:b w:val="1"/>
      <w:bCs w:val="1"/>
    </w:rPr>
  </w:style>
  <w:style w:type="character" w:styleId="CommentSubjectChar" w:customStyle="1">
    <w:name w:val="Comment Subject Char"/>
    <w:basedOn w:val="CommentTextChar"/>
    <w:link w:val="CommentSubject"/>
    <w:uiPriority w:val="99"/>
    <w:semiHidden w:val="1"/>
    <w:rsid w:val="00D2005C"/>
    <w:rPr>
      <w:b w:val="1"/>
      <w:bCs w:val="1"/>
      <w:color w:val="000000"/>
      <w:sz w:val="20"/>
      <w:szCs w:val="20"/>
    </w:rPr>
  </w:style>
  <w:style w:type="table" w:styleId="ab" w:customStyle="1">
    <w:basedOn w:val="TableNormal"/>
    <w:tblPr>
      <w:tblStyleRowBandSize w:val="1"/>
      <w:tblStyleColBandSize w:val="1"/>
      <w:tblCellMar>
        <w:left w:w="115.0" w:type="dxa"/>
        <w:right w:w="115.0" w:type="dxa"/>
      </w:tblCellMar>
    </w:tblPr>
  </w:style>
  <w:style w:type="table" w:styleId="ac" w:customStyle="1">
    <w:basedOn w:val="TableNormal"/>
    <w:pPr>
      <w:spacing w:after="0" w:line="240" w:lineRule="auto"/>
    </w:pPr>
    <w:tblPr>
      <w:tblStyleRowBandSize w:val="1"/>
      <w:tblStyleColBandSize w:val="1"/>
    </w:tblPr>
  </w:style>
  <w:style w:type="table" w:styleId="ad" w:customStyle="1">
    <w:basedOn w:val="TableNormal"/>
    <w:tblPr>
      <w:tblStyleRowBandSize w:val="1"/>
      <w:tblStyleColBandSize w:val="1"/>
      <w:tblCellMar>
        <w:left w:w="115.0" w:type="dxa"/>
        <w:right w:w="115.0" w:type="dxa"/>
      </w:tblCellMar>
    </w:tblPr>
  </w:style>
  <w:style w:type="table" w:styleId="ae" w:customStyle="1">
    <w:basedOn w:val="TableNormal"/>
    <w:pPr>
      <w:spacing w:after="0" w:line="240" w:lineRule="auto"/>
    </w:pPr>
    <w:tblPr>
      <w:tblStyleRowBandSize w:val="1"/>
      <w:tblStyleColBandSize w:val="1"/>
    </w:tblPr>
  </w:style>
  <w:style w:type="paragraph" w:styleId="NormalWeb">
    <w:name w:val="Normal (Web)"/>
    <w:basedOn w:val="Normal"/>
    <w:uiPriority w:val="99"/>
    <w:semiHidden w:val="1"/>
    <w:unhideWhenUsed w:val="1"/>
    <w:rsid w:val="00D41F34"/>
    <w:pPr>
      <w:spacing w:after="100" w:afterAutospacing="1" w:before="100" w:beforeAutospacing="1" w:line="240" w:lineRule="auto"/>
    </w:pPr>
    <w:rPr>
      <w:rFonts w:ascii="Times New Roman" w:cs="Times New Roman" w:eastAsia="Times New Roman" w:hAnsi="Times New Roman"/>
      <w:color w:val="auto"/>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obveznice@koykan.com"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MOmSzaC/nDGZsx/OOcsfTSAwvQ==">CgMxLjA4AHIhMVAyXzhVQlZybGhOX2RwT2JtZWlFajlDY3l5aThqTF9X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2026-09-11T06:27:00Z</dcterms:created>
  <dc:creator>support@koykan.onmicrosoft.com</dc:creator>
</cp:coreProperties>
</file>