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KOYKAN MIRNA d.o.o.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Prilaz Gjure Deželića 80, 10000 Zagreb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OIB: 22942036549 | MBS: 081634769 | temeljni kapital: 2.500,00 EUR</w:t>
      </w:r>
    </w:p>
    <w:p w:rsidR="00000000" w:rsidDel="00000000" w:rsidP="00000000" w:rsidRDefault="00000000" w:rsidRPr="00000000" w14:paraId="00000004">
      <w:pPr>
        <w:jc w:val="center"/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18"/>
          <w:szCs w:val="18"/>
          <w:rtl w:val="0"/>
        </w:rPr>
        <w:t xml:space="preserve">IBAN: HR2823600001103192700 | zastupano po direktoru Bori Milivojeviću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ODLUKA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o izdavanju obveznica s pravom konverzije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KOYKAN MIRNA d.o.o., Prilaz Gjure Deželića 80, 10000 Zagreb, OIB: 22942036549 | MBS: 081634769 | temeljni kapital: 2.500,00 EUR, IBAN: HR2823600001103192700 | zastupano po direktoru Bori Milivojeviću (dalje: „Društvo“) dana 23.09.2026. godine donosi odluku o izdanju Obveznica u tranšama po sljedećim parametrima: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9.0" w:type="dxa"/>
        <w:jc w:val="left"/>
        <w:tblBorders>
          <w:insideH w:color="000000" w:space="0" w:sz="4" w:val="single"/>
        </w:tblBorders>
        <w:tblLayout w:type="fixed"/>
        <w:tblLook w:val="0400"/>
      </w:tblPr>
      <w:tblGrid>
        <w:gridCol w:w="4678"/>
        <w:gridCol w:w="4111"/>
        <w:tblGridChange w:id="0">
          <w:tblGrid>
            <w:gridCol w:w="4678"/>
            <w:gridCol w:w="4111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CILJANI IZNOS IZDANJA: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2.000.000,00 EUR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ROK TRAJANJA OBVEZNICA: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 godina od datuma izdanja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KUPONSKA KAMATNA STOPA: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od 8 % godišnje, fiksna za pojedini upis, ovisno o popunjenosti izdanja u trenutku uplate kako je opisano u nastavku ove Odluke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ISPLATA KUPONSKE KAMATNE STOPE: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polugodišnje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ISPLATA GLAVNICE: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jednokratno na kraju izdanja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VRSTA OBVEZNICE: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konvertibilna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MINIMALNI UPIS: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5.000,00 EUR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može donijeti odluku o prijevremenom otkupu obveznica od trenutka izdanja obveznica do njenog dospijeća. Ukoliko neće biti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prijevremenog otkupa glavnice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, glavnice će se vratiti jednokratno na kraju izdanja, dok se kuponska kamatna stopa isplaćuje na kraju svakog polugodišta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od dana upisa. </w:t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Za navedeno koristimo iznimku od objave prospekta u skladu s primjenjivim odredbama članka 409. i članka 427. Zakona o tržištu kapitala.</w:t>
      </w:r>
    </w:p>
    <w:p w:rsidR="00000000" w:rsidDel="00000000" w:rsidP="00000000" w:rsidRDefault="00000000" w:rsidRPr="00000000" w14:paraId="0000001D">
      <w:pPr>
        <w:spacing w:before="240"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Izdavatelj može donijeti odluku o prijevremenom otkupu obveznica, u cijelosti ili djelomično, uz isplatu nominalnog iznosa i pripadajuće kamate do dana otkupa, uz obavijest imateljima najmanje 60 dana unaprijed. Prijevremeni otkup može se provesti i prije isteka roka u kojem imatelj može podnijeti zahtjev za konverziju. </w:t>
      </w:r>
    </w:p>
    <w:p w:rsidR="00000000" w:rsidDel="00000000" w:rsidP="00000000" w:rsidRDefault="00000000" w:rsidRPr="00000000" w14:paraId="0000001E">
      <w:pPr>
        <w:spacing w:before="240"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Također, obveznica ima opciju konverzije u vlasničke udjele koja će se omogućiti po sljedećim parametrima: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before="280" w:line="276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Ovom odlukom utvrđuje se mogućnost zamjene (konverzije) obveznica u vlasničke udjele Društva, ovisno o pravnom obliku Društva u trenutku konverzije.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Vrste konverzije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line="276" w:lineRule="auto"/>
        <w:ind w:left="21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Investitor može samostalno svojom odlukom, djelomično ili u cijelosti, zamijeniti nominalni iznos obveznice 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line="276" w:lineRule="auto"/>
        <w:ind w:left="288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poslovne udjele u Društvu ako je Društvo u obliku d.o.o., ili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line="276" w:lineRule="auto"/>
        <w:ind w:left="288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dionice Društva ako je Društvo prethodno preoblikovano u d.d.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Društvo nema pravo inicirati zahtjev za konverzijom niti na bilo koji način utjecati na odluku Investitora.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="240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Svaki investitor može zamijeniti vrijednost obveznice za vlasničke udjele Društva pri čemu će se omjer iznosa obveznice i udjela utvrditi prema vrijednosti Društva utvrđenoj najkasnije do dana 31.12.2027.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after="0" w:line="240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se obvezuje angažirati vanjskog konzultanta koji će izraditi službenu procjenu vrijednosti Društva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line="240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se obvezuje najkasnije do dana 31.10.2027. godine angažirati konzultanta koji će izraditi službenu procjenu vrijednosti Društva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after="0" w:line="240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se obvezuje najkasnije do dana 31.03.2028. godine razraditi model konverzije obveznica u udjele Društva i sazvati i skupštinu Društva radi donošenja odluke o načinu konverzije obveznica u udjele Društva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after="0" w:line="240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Instrument u koji će se obveznice moći konvertirati (poslovni udio, redovna dionica pojedine klase ili povlaštena dionica) kao i karakteristike toga instrumenta će biti objavljeni u trenutku kada Društvo ponudi konverziju investitorima sukladno rokovima iz ove odluke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će na zahtjev investitora sazvati skupštinu Društva radi donošenja odluke o povećanju temeljnog kapitala Društva izdavanjem novih udjela u cilju ostvarivanja prava investitora na konverziju obveznice u udjele Društva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Obveza uprave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ind w:left="144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se obvezuje da će, najkasnije 30.06.2028.: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line="276" w:lineRule="auto"/>
        <w:ind w:left="21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Izraditi prijedlog tehničkog i pravnog modela konverzije obveznica u vlasničke udjele,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Sazvati skupštinu Društva radi donošenja potrebnih odluka o provedbi konverzije, uključujući sve izmjene društvenih akata, kao i povećanje temeljnog kapitala ako je potrebno.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 slučaju da Uprava ne provede navedene aktivnosti u predviđenom roku, investitor zadržava pravo zatražiti povrat obveznice po izvornim uvjetima.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216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Vrijednost Društva će utvrditi neovisni procjenitelj.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ind w:left="288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Postupak konverzije obveznice u udjele Društva: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Investitor može, u bilo kojem trenutku sukladno točki 1., a najkasnije u roku od 30 mjeseci od dana registracije emisije obveznica iskazati interes za konverzijom slanjem pisanog zahtjeva putem e-maila na</w:t>
      </w:r>
      <w:r w:rsidDel="00000000" w:rsidR="00000000" w:rsidRPr="00000000">
        <w:rPr>
          <w:rFonts w:ascii="Verdana" w:cs="Verdana" w:eastAsia="Verdana" w:hAnsi="Verdana"/>
          <w:sz w:val="28"/>
          <w:szCs w:val="28"/>
          <w:rtl w:val="0"/>
        </w:rPr>
        <w:t xml:space="preserve"> </w:t>
      </w:r>
      <w:hyperlink r:id="rId7">
        <w:r w:rsidDel="00000000" w:rsidR="00000000" w:rsidRPr="00000000">
          <w:rPr>
            <w:rFonts w:ascii="Verdana" w:cs="Verdana" w:eastAsia="Verdana" w:hAnsi="Verdana"/>
            <w:color w:val="0000ee"/>
            <w:sz w:val="28"/>
            <w:szCs w:val="28"/>
            <w:u w:val="single"/>
            <w:vertAlign w:val="superscript"/>
            <w:rtl w:val="0"/>
          </w:rPr>
          <w:t xml:space="preserve">obveznice@koykan.com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Odgovorna osoba potvrđuje primitak zahtjeva interesa u roku od 7 dana.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Uprava Društva obvezna je donijeti odluku o sazivanju skupštine radi provedbe konverzije, kako bi se pravovremeno omogućila realizacija prava investitora.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Investitor će prilikom realizacije svojih prava biti pravovremeno upoznat sa svim uvjetima konverzije, uključivo i procijenjenu vrijednost društva prilikom konverzije i biti će pozvan da samostalno svojom odlukom, djelomično ili u cijelosti pismeno potvrdi zahtjev za konverzijom putem e-maila.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Skupština Društva donosi odgovarajuće odluke koje uključuju povećanje temeljnog kapitala izdavanjem novih udjela ili vrijednosnih papira, i provodi druge relevantne korporativne radnje.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Nakon usvajanja tih odluka, poduzimaju se svi pravni i tehnički koraci u svrhu provedbe prijenosa obveznica te upisa novih udjela ili vrijednosnih papira u korist investitora.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Dostavljaju se ugovori nadležnim institucijama (npr. SKDD, sudski registar).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hanging="360"/>
        <w:jc w:val="both"/>
        <w:rPr/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Po završetku procesa, nadležna institucija službeno obavještava i investitora i Društvo o provedenoj konverziji.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44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hanging="36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Svi postupci provedbe konverzije temelje se na važećem Zakonu o trgovačkim društvima i društvenim aktima Društva, a Uprava Društva odgovorna je za zakonitu i tehnički ispravnu provedbu.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KOYKAN MIRNA d.o.o.</w:t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Boro Milivojević, direktor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850.3937007874016" w:top="850.3937007874016" w:left="850.3937007874016" w:right="850.3937007874016" w:header="425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spacing w:after="32" w:lineRule="auto"/>
      <w:ind w:left="-5" w:hanging="10"/>
      <w:rPr>
        <w:rFonts w:ascii="Century Gothic" w:cs="Century Gothic" w:eastAsia="Century Gothic" w:hAnsi="Century Gothic"/>
        <w:b w:val="1"/>
        <w:bCs w:val="1"/>
        <w:color w:val="ba8c6d"/>
        <w:sz w:val="15"/>
        <w:szCs w:val="15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74189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1896"/>
    <w:rPr>
      <w:rFonts w:ascii="Calibri" w:cs="Calibri" w:eastAsia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 w:val="1"/>
    <w:rsid w:val="0074189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1896"/>
    <w:rPr>
      <w:rFonts w:ascii="Calibri" w:cs="Calibri" w:eastAsia="Calibri" w:hAnsi="Calibri"/>
      <w:color w:val="000000"/>
    </w:rPr>
  </w:style>
  <w:style w:type="paragraph" w:styleId="ListParagraph">
    <w:name w:val="List Paragraph"/>
    <w:basedOn w:val="Normal"/>
    <w:uiPriority w:val="72"/>
    <w:qFormat w:val="1"/>
    <w:rsid w:val="00F80DBE"/>
    <w:pPr>
      <w:spacing w:after="0" w:line="240" w:lineRule="auto"/>
      <w:ind w:left="720"/>
      <w:contextualSpacing w:val="1"/>
      <w:jc w:val="both"/>
    </w:pPr>
    <w:rPr>
      <w:rFonts w:cs="Times New Roman"/>
      <w:color w:val="auto"/>
      <w:lang w:eastAsia="en-US"/>
    </w:rPr>
  </w:style>
  <w:style w:type="table" w:styleId="TableGrid">
    <w:name w:val="Table Grid"/>
    <w:basedOn w:val="TableNormal"/>
    <w:uiPriority w:val="39"/>
    <w:rsid w:val="00F80DBE"/>
    <w:pPr>
      <w:spacing w:after="0" w:line="240" w:lineRule="auto"/>
    </w:pPr>
    <w:rPr>
      <w:rFonts w:asciiTheme="minorHAnsi" w:cstheme="minorBidi" w:eastAsiaTheme="minorHAnsi" w:hAnsiTheme="minorHAnsi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3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3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ion">
    <w:name w:val="Revision"/>
    <w:hidden w:val="1"/>
    <w:uiPriority w:val="99"/>
    <w:semiHidden w:val="1"/>
    <w:rsid w:val="00D2005C"/>
    <w:pPr>
      <w:spacing w:after="0" w:line="240" w:lineRule="auto"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200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D2005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2005C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2005C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2005C"/>
    <w:rPr>
      <w:b w:val="1"/>
      <w:bCs w:val="1"/>
      <w:color w:val="000000"/>
      <w:sz w:val="20"/>
      <w:szCs w:val="20"/>
    </w:rPr>
  </w:style>
  <w:style w:type="table" w:styleId="a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d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 w:val="1"/>
    <w:unhideWhenUsed w:val="1"/>
    <w:rsid w:val="00D41F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veznice@koykan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+1aK69RlxCBN5Dw3YIQpanAGUA==">CgMxLjA4AGolChRzdWdnZXN0LjZubnQxbW1la280aRINQW5kcmVqIEJvbGZla2olChRzdWdnZXN0LjIxbzd3YmNibGx6MBINQW5kcmVqIEJvbGZla2olChRzdWdnZXN0LjkyZ256eHBycjliehINQW5kcmVqIEJvbGZla2olChRzdWdnZXN0LmhsMjMzZmw2aWUyMBINQW5kcmVqIEJvbGZla2olChRzdWdnZXN0LjE0bmNqb21iNGRtYxINQW5kcmVqIEJvbGZla3IhMVowclNjbWl5aU1ycXRuVk1kUFNqU01iUUx4NnJxaG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2026-09-11T06:27:00Z</dcterms:created>
  <dc:creator>support@koykan.onmicrosoft.com</dc:creator>
</cp:coreProperties>
</file>